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53FEEEC2" wp14:textId="77777777">
      <w:pPr>
        <w:jc w:val="center"/>
      </w:pPr>
      <w:r>
        <w:rPr>
          <w:b/>
          <w:color w:val="17365D"/>
          <w:sz w:val="44"/>
        </w:rPr>
        <w:t>PATIENT PRIVACY POLICY</w:t>
      </w:r>
      <w:r>
        <w:rPr>
          <w:b/>
          <w:color w:val="17365D"/>
          <w:sz w:val="44"/>
        </w:rPr>
        <w:br/>
      </w:r>
      <w:r>
        <w:rPr>
          <w:b/>
          <w:color w:val="17365D"/>
          <w:sz w:val="44"/>
        </w:rPr>
        <w:t>AND PRIVACY NOTICE</w:t>
      </w:r>
    </w:p>
    <w:p xmlns:wp14="http://schemas.microsoft.com/office/word/2010/wordml" w14:paraId="3C71BDC5" wp14:textId="77777777">
      <w:pPr>
        <w:jc w:val="center"/>
      </w:pPr>
      <w:r>
        <w:rPr>
          <w:i/>
          <w:color w:val="2F5597"/>
          <w:sz w:val="24"/>
        </w:rPr>
        <w:t>Including the use of artificial intelligence and AI-enabled clinical tools</w:t>
      </w:r>
    </w:p>
    <w:p xmlns:wp14="http://schemas.microsoft.com/office/word/2010/wordml" w14:paraId="672A6659" wp14:textId="77777777"/>
    <w:tbl>
      <w:tblPr>
        <w:tblStyle w:val="TableGrid"/>
        <w:tblW w:w="0" w:type="auto"/>
        <w:jc w:val="center"/>
        <w:tblLook w:val="04A0" w:firstRow="1" w:lastRow="0" w:firstColumn="1" w:lastColumn="0" w:noHBand="0" w:noVBand="1"/>
      </w:tblPr>
      <w:tblGrid>
        <w:gridCol w:w="5040"/>
        <w:gridCol w:w="5040"/>
      </w:tblGrid>
      <w:tr xmlns:wp14="http://schemas.microsoft.com/office/word/2010/wordml" w:rsidTr="79851578" w14:paraId="1806A560" wp14:textId="77777777">
        <w:tc>
          <w:tcPr>
            <w:tcW w:w="5040" w:type="dxa"/>
            <w:shd w:val="clear" w:color="auto" w:fill="17365D" w:themeFill="text2" w:themeFillShade="BF"/>
            <w:tcMar/>
            <w:vAlign w:val="center"/>
          </w:tcPr>
          <w:p w14:paraId="130CEF21" wp14:textId="77777777">
            <w:r>
              <w:rPr>
                <w:b/>
                <w:color w:val="FFFFFF"/>
              </w:rPr>
              <w:t>Document control</w:t>
            </w:r>
          </w:p>
        </w:tc>
        <w:tc>
          <w:tcPr>
            <w:tcW w:w="5040" w:type="dxa"/>
            <w:shd w:val="clear" w:color="auto" w:fill="17365D" w:themeFill="text2" w:themeFillShade="BF"/>
            <w:tcMar/>
            <w:vAlign w:val="center"/>
          </w:tcPr>
          <w:p w14:paraId="0231F8D0" wp14:textId="77777777">
            <w:r>
              <w:rPr>
                <w:b/>
                <w:color w:val="FFFFFF"/>
              </w:rPr>
              <w:t>Details</w:t>
            </w:r>
          </w:p>
        </w:tc>
        <w:trPr>
          <w:tblHeader/>
        </w:trPr>
      </w:tr>
      <w:tr xmlns:wp14="http://schemas.microsoft.com/office/word/2010/wordml" w:rsidTr="79851578" w14:paraId="271CC7C7" wp14:textId="77777777">
        <w:tc>
          <w:tcPr>
            <w:tcW w:w="5040" w:type="dxa"/>
            <w:tcMar/>
            <w:vAlign w:val="center"/>
          </w:tcPr>
          <w:p w14:paraId="563D366A" wp14:textId="77777777">
            <w:r>
              <w:t>Organisation</w:t>
            </w:r>
          </w:p>
        </w:tc>
        <w:tc>
          <w:tcPr>
            <w:tcW w:w="5040" w:type="dxa"/>
            <w:tcMar/>
            <w:vAlign w:val="center"/>
          </w:tcPr>
          <w:p w14:paraId="7D737D35" wp14:textId="77777777">
            <w:r>
              <w:t>King’s College London NHS Health Centre</w:t>
            </w:r>
          </w:p>
        </w:tc>
      </w:tr>
      <w:tr xmlns:wp14="http://schemas.microsoft.com/office/word/2010/wordml" w:rsidTr="79851578" w14:paraId="3678C0F1" wp14:textId="77777777">
        <w:tc>
          <w:tcPr>
            <w:tcW w:w="5040" w:type="dxa"/>
            <w:tcMar/>
            <w:vAlign w:val="center"/>
          </w:tcPr>
          <w:p w14:paraId="47D2A083" wp14:textId="77777777">
            <w:r>
              <w:t>Address</w:t>
            </w:r>
          </w:p>
        </w:tc>
        <w:tc>
          <w:tcPr>
            <w:tcW w:w="5040" w:type="dxa"/>
            <w:tcMar/>
            <w:vAlign w:val="center"/>
          </w:tcPr>
          <w:p w14:paraId="2DCC3875" wp14:textId="77777777">
            <w:r>
              <w:t>Bush House, 3rd Floor SE Wing, 300 Strand, London WC2B 4PJ</w:t>
            </w:r>
          </w:p>
        </w:tc>
      </w:tr>
      <w:tr xmlns:wp14="http://schemas.microsoft.com/office/word/2010/wordml" w:rsidTr="79851578" w14:paraId="16F901C3" wp14:textId="77777777">
        <w:tc>
          <w:tcPr>
            <w:tcW w:w="5040" w:type="dxa"/>
            <w:tcMar/>
            <w:vAlign w:val="center"/>
          </w:tcPr>
          <w:p w14:paraId="6B814A1E" wp14:textId="77777777">
            <w:r>
              <w:t>Version</w:t>
            </w:r>
          </w:p>
        </w:tc>
        <w:tc>
          <w:tcPr>
            <w:tcW w:w="5040" w:type="dxa"/>
            <w:tcMar/>
            <w:vAlign w:val="center"/>
          </w:tcPr>
          <w:p w14:paraId="46D98914" wp14:textId="77777777">
            <w:r>
              <w:t>2026.1</w:t>
            </w:r>
          </w:p>
        </w:tc>
      </w:tr>
      <w:tr xmlns:wp14="http://schemas.microsoft.com/office/word/2010/wordml" w:rsidTr="79851578" w14:paraId="001313B2" wp14:textId="77777777">
        <w:tc>
          <w:tcPr>
            <w:tcW w:w="5040" w:type="dxa"/>
            <w:tcMar/>
            <w:vAlign w:val="center"/>
          </w:tcPr>
          <w:p w14:paraId="630DD495" wp14:textId="77777777">
            <w:r>
              <w:t>Effective date</w:t>
            </w:r>
          </w:p>
        </w:tc>
        <w:tc>
          <w:tcPr>
            <w:tcW w:w="5040" w:type="dxa"/>
            <w:tcMar/>
            <w:vAlign w:val="center"/>
          </w:tcPr>
          <w:p w14:paraId="5AE86F5D" wp14:textId="02E3C10E">
            <w:r w:rsidR="79851578">
              <w:rPr/>
              <w:t>16 August 2026</w:t>
            </w:r>
          </w:p>
        </w:tc>
      </w:tr>
      <w:tr xmlns:wp14="http://schemas.microsoft.com/office/word/2010/wordml" w:rsidTr="79851578" w14:paraId="53A88740" wp14:textId="77777777">
        <w:tc>
          <w:tcPr>
            <w:tcW w:w="5040" w:type="dxa"/>
            <w:tcMar/>
            <w:vAlign w:val="center"/>
          </w:tcPr>
          <w:p w14:paraId="765471B8" wp14:textId="77777777">
            <w:r>
              <w:t>Review date</w:t>
            </w:r>
          </w:p>
        </w:tc>
        <w:tc>
          <w:tcPr>
            <w:tcW w:w="5040" w:type="dxa"/>
            <w:tcMar/>
            <w:vAlign w:val="center"/>
          </w:tcPr>
          <w:p w14:paraId="55A572EC" wp14:textId="0D59994D">
            <w:r w:rsidR="12E7EB75">
              <w:rPr/>
              <w:t>August 2027, or sooner following material legal, regulatory, system or service change</w:t>
            </w:r>
          </w:p>
        </w:tc>
      </w:tr>
      <w:tr xmlns:wp14="http://schemas.microsoft.com/office/word/2010/wordml" w:rsidTr="79851578" w14:paraId="71ADB366" wp14:textId="77777777">
        <w:tc>
          <w:tcPr>
            <w:tcW w:w="5040" w:type="dxa"/>
            <w:tcMar/>
            <w:vAlign w:val="center"/>
          </w:tcPr>
          <w:p w14:paraId="045AE68D" wp14:textId="77777777">
            <w:r>
              <w:t>Policy owner</w:t>
            </w:r>
          </w:p>
        </w:tc>
        <w:tc>
          <w:tcPr>
            <w:tcW w:w="5040" w:type="dxa"/>
            <w:tcMar/>
            <w:vAlign w:val="center"/>
          </w:tcPr>
          <w:p w14:paraId="6E65EF11" wp14:textId="77777777">
            <w:r>
              <w:t>Practice Manager / Data Protection Lead</w:t>
            </w:r>
          </w:p>
        </w:tc>
      </w:tr>
      <w:tr xmlns:wp14="http://schemas.microsoft.com/office/word/2010/wordml" w:rsidTr="79851578" w14:paraId="6E3B6237" wp14:textId="77777777">
        <w:tc>
          <w:tcPr>
            <w:tcW w:w="5040" w:type="dxa"/>
            <w:tcMar/>
            <w:vAlign w:val="center"/>
          </w:tcPr>
          <w:p w14:paraId="4894EE75" wp14:textId="77777777">
            <w:r>
              <w:t>Approval</w:t>
            </w:r>
          </w:p>
        </w:tc>
        <w:tc>
          <w:tcPr>
            <w:tcW w:w="5040" w:type="dxa"/>
            <w:tcMar/>
            <w:vAlign w:val="center"/>
          </w:tcPr>
          <w:p w14:paraId="74B51457" wp14:textId="77777777">
            <w:r>
              <w:t>To be approved through the Practice governance process</w:t>
            </w:r>
          </w:p>
        </w:tc>
      </w:tr>
      <w:tr xmlns:wp14="http://schemas.microsoft.com/office/word/2010/wordml" w:rsidTr="79851578" w14:paraId="682A7948" wp14:textId="77777777">
        <w:tc>
          <w:tcPr>
            <w:tcW w:w="5040" w:type="dxa"/>
            <w:tcMar/>
            <w:vAlign w:val="center"/>
          </w:tcPr>
          <w:p w14:paraId="1B9FBFDD" wp14:textId="77777777">
            <w:r>
              <w:t>Status</w:t>
            </w:r>
          </w:p>
        </w:tc>
        <w:tc>
          <w:tcPr>
            <w:tcW w:w="5040" w:type="dxa"/>
            <w:tcMar/>
            <w:vAlign w:val="center"/>
          </w:tcPr>
          <w:p w14:paraId="38BA3AE4" wp14:textId="77777777">
            <w:r>
              <w:t>Patient-facing privacy policy and privacy notice</w:t>
            </w:r>
          </w:p>
        </w:tc>
      </w:tr>
    </w:tbl>
    <w:p xmlns:wp14="http://schemas.microsoft.com/office/word/2010/wordml" w14:paraId="70317D9D" wp14:textId="77777777">
      <w:r>
        <w:t>This updated policy replaces the previous notice. It explains how the Practice collects, uses, shares, secures and retains personal information, including where approved AI-enabled tools support clinical or administrative work. It should be read with the Practice’s confidentiality, records management, information security, data breach, subject access and AI/digital clinical safety procedures.</w:t>
      </w:r>
    </w:p>
    <w:p xmlns:wp14="http://schemas.microsoft.com/office/word/2010/wordml" w14:paraId="49C50A73" wp14:textId="77777777">
      <w:pPr>
        <w:pStyle w:val="Heading1"/>
        <w:keepNext/>
      </w:pPr>
      <w:r>
        <w:t>1. Purpose and scope</w:t>
      </w:r>
    </w:p>
    <w:p xmlns:wp14="http://schemas.microsoft.com/office/word/2010/wordml" w14:paraId="67761947" wp14:textId="77777777">
      <w:r>
        <w:t>King’s College London NHS Health Centre (the Practice) is committed to using personal information lawfully, fairly, transparently and securely. This policy applies to information about registered and temporary patients, prospective patients, carers, representatives, complainants and other people whose information the Practice processes.</w:t>
      </w:r>
    </w:p>
    <w:p xmlns:wp14="http://schemas.microsoft.com/office/word/2010/wordml" w14:paraId="552C25B9" wp14:textId="77777777">
      <w:r>
        <w:t>It covers paper and electronic records, telephone calls, online consultation systems, messaging, images, audio where specifically used, shared care records, analytics, and information processed through approved clinical, administrative and AI-enabled systems.</w:t>
      </w:r>
    </w:p>
    <w:p xmlns:wp14="http://schemas.microsoft.com/office/word/2010/wordml" w14:paraId="2D33D030" wp14:textId="77777777">
      <w:pPr>
        <w:pStyle w:val="Heading1"/>
        <w:keepNext/>
      </w:pPr>
      <w:r>
        <w:t>2. Key legal and regulatory framework</w:t>
      </w:r>
    </w:p>
    <w:p xmlns:wp14="http://schemas.microsoft.com/office/word/2010/wordml" w14:paraId="20C28ED9" wp14:textId="77777777">
      <w:r>
        <w:t>The Practice will apply current law and relevant NHS guidance, including:</w:t>
      </w:r>
    </w:p>
    <w:p xmlns:wp14="http://schemas.microsoft.com/office/word/2010/wordml" w14:paraId="19FAFC90" wp14:textId="77777777">
      <w:pPr>
        <w:pStyle w:val="ListBullet"/>
      </w:pPr>
      <w:r>
        <w:t>UK General Data Protection Regulation (UK GDPR);</w:t>
      </w:r>
    </w:p>
    <w:p xmlns:wp14="http://schemas.microsoft.com/office/word/2010/wordml" w14:paraId="23125D8C" wp14:textId="77777777">
      <w:pPr>
        <w:pStyle w:val="ListBullet"/>
      </w:pPr>
      <w:r>
        <w:t>Data Protection Act 2018, as amended;</w:t>
      </w:r>
    </w:p>
    <w:p xmlns:wp14="http://schemas.microsoft.com/office/word/2010/wordml" w14:paraId="723473B9" wp14:textId="77777777">
      <w:pPr>
        <w:pStyle w:val="ListBullet"/>
      </w:pPr>
      <w:r>
        <w:t>Data (Use and Access) Act 2025;</w:t>
      </w:r>
    </w:p>
    <w:p xmlns:wp14="http://schemas.microsoft.com/office/word/2010/wordml" w14:paraId="51415B16" wp14:textId="77777777">
      <w:pPr>
        <w:pStyle w:val="ListBullet"/>
      </w:pPr>
      <w:r>
        <w:t>Common Law Duty of Confidentiality;</w:t>
      </w:r>
    </w:p>
    <w:p xmlns:wp14="http://schemas.microsoft.com/office/word/2010/wordml" w14:paraId="422E82C1" wp14:textId="77777777">
      <w:pPr>
        <w:pStyle w:val="ListBullet"/>
      </w:pPr>
      <w:r>
        <w:t>Human Rights Act 1998;</w:t>
      </w:r>
    </w:p>
    <w:p xmlns:wp14="http://schemas.microsoft.com/office/word/2010/wordml" w14:paraId="5D85C029" wp14:textId="77777777">
      <w:pPr>
        <w:pStyle w:val="ListBullet"/>
      </w:pPr>
      <w:r>
        <w:t>Health and Social Care Act 2008 and associated regulations;</w:t>
      </w:r>
    </w:p>
    <w:p xmlns:wp14="http://schemas.microsoft.com/office/word/2010/wordml" w14:paraId="153DC898" wp14:textId="77777777">
      <w:pPr>
        <w:pStyle w:val="ListBullet"/>
      </w:pPr>
      <w:r>
        <w:t>Health and Social Care Act 2012;</w:t>
      </w:r>
    </w:p>
    <w:p xmlns:wp14="http://schemas.microsoft.com/office/word/2010/wordml" w14:paraId="109D6FA0" wp14:textId="77777777">
      <w:pPr>
        <w:pStyle w:val="ListBullet"/>
      </w:pPr>
      <w:r>
        <w:t>National Health Service Act 2006;</w:t>
      </w:r>
    </w:p>
    <w:p xmlns:wp14="http://schemas.microsoft.com/office/word/2010/wordml" w14:paraId="0894FFD3" wp14:textId="77777777">
      <w:pPr>
        <w:pStyle w:val="ListBullet"/>
      </w:pPr>
      <w:r>
        <w:t>Mental Capacity Act 2005;</w:t>
      </w:r>
    </w:p>
    <w:p xmlns:wp14="http://schemas.microsoft.com/office/word/2010/wordml" w14:paraId="3B1F83CB" wp14:textId="77777777">
      <w:pPr>
        <w:pStyle w:val="ListBullet"/>
      </w:pPr>
      <w:r>
        <w:t>Equality Act 2010;</w:t>
      </w:r>
    </w:p>
    <w:p xmlns:wp14="http://schemas.microsoft.com/office/word/2010/wordml" w14:paraId="287E8C4B" wp14:textId="77777777">
      <w:pPr>
        <w:pStyle w:val="ListBullet"/>
      </w:pPr>
      <w:r>
        <w:t>Privacy and Electronic Communications Regulations 2003, where applicable;</w:t>
      </w:r>
    </w:p>
    <w:p xmlns:wp14="http://schemas.microsoft.com/office/word/2010/wordml" w14:paraId="2D3BDAD6" wp14:textId="77777777">
      <w:pPr>
        <w:pStyle w:val="ListBullet"/>
      </w:pPr>
      <w:r>
        <w:t>Caldicott Principles;</w:t>
      </w:r>
    </w:p>
    <w:p xmlns:wp14="http://schemas.microsoft.com/office/word/2010/wordml" w14:paraId="2BAB224D" wp14:textId="77777777">
      <w:pPr>
        <w:pStyle w:val="ListBullet"/>
      </w:pPr>
      <w:r>
        <w:t>Records Management Code of Practice 2021;</w:t>
      </w:r>
    </w:p>
    <w:p xmlns:wp14="http://schemas.microsoft.com/office/word/2010/wordml" w14:paraId="6EDD9960" wp14:textId="77777777">
      <w:pPr>
        <w:pStyle w:val="ListBullet"/>
      </w:pPr>
      <w:r>
        <w:t>NHS information governance, clinical safety and cyber security requirements, including the Data Security and Protection Toolkit; and</w:t>
      </w:r>
    </w:p>
    <w:p xmlns:wp14="http://schemas.microsoft.com/office/word/2010/wordml" w14:paraId="6B05BA55" wp14:textId="77777777">
      <w:pPr>
        <w:pStyle w:val="ListBullet"/>
      </w:pPr>
      <w:r>
        <w:t>Care Quality Commission requirements, including good governance and accurate, complete and contemporaneous records.</w:t>
      </w:r>
    </w:p>
    <w:p xmlns:wp14="http://schemas.microsoft.com/office/word/2010/wordml" w14:paraId="25ADA6BE" wp14:textId="77777777">
      <w:r>
        <w:t>Where guidance or legislation changes, the Practice will apply the version in force and update this document where the change is material.</w:t>
      </w:r>
    </w:p>
    <w:p xmlns:wp14="http://schemas.microsoft.com/office/word/2010/wordml" w14:paraId="1B92AC22" wp14:textId="77777777">
      <w:pPr>
        <w:pStyle w:val="Heading1"/>
        <w:keepNext/>
      </w:pPr>
      <w:r>
        <w:t>3. Who is responsible for your information</w:t>
      </w:r>
    </w:p>
    <w:p xmlns:wp14="http://schemas.microsoft.com/office/word/2010/wordml" w14:paraId="468C8890" wp14:textId="77777777">
      <w:r>
        <w:t>For most information held in the GP record, the Practice is the data controller. In some services the Practice may act jointly with another NHS organisation, or an organisation may process information on our behalf under a written contract. The relevant arrangement depends on the service and data flow.</w:t>
      </w:r>
    </w:p>
    <w:p xmlns:wp14="http://schemas.microsoft.com/office/word/2010/wordml" w14:paraId="7B8B218D" wp14:textId="77777777">
      <w:r>
        <w:t>Contact: Practice Manager / Data Protection Lead, King’s College London NHS Health Centre, Bush House, 3rd Floor SE Wing, 300 Strand, London WC2B 4PJ. Email: kingscollegehc@nhs.net.</w:t>
      </w:r>
    </w:p>
    <w:p xmlns:wp14="http://schemas.microsoft.com/office/word/2010/wordml" w14:paraId="72A48830" wp14:textId="77777777">
      <w:pPr>
        <w:pStyle w:val="Heading1"/>
        <w:keepNext/>
      </w:pPr>
      <w:r>
        <w:t>4. Information we collect</w:t>
      </w:r>
    </w:p>
    <w:p xmlns:wp14="http://schemas.microsoft.com/office/word/2010/wordml" w14:paraId="7ADCBD7E" wp14:textId="77777777">
      <w:pPr>
        <w:pStyle w:val="ListBullet"/>
      </w:pPr>
      <w:r>
        <w:t>identity and contact details, including name, date of birth, address, telephone number, email address, NHS number and next of kin;</w:t>
      </w:r>
    </w:p>
    <w:p xmlns:wp14="http://schemas.microsoft.com/office/word/2010/wordml" w14:paraId="3451A572" wp14:textId="77777777">
      <w:pPr>
        <w:pStyle w:val="ListBullet"/>
      </w:pPr>
      <w:r>
        <w:t>demographic and equality information relevant to care and access;</w:t>
      </w:r>
    </w:p>
    <w:p xmlns:wp14="http://schemas.microsoft.com/office/word/2010/wordml" w14:paraId="767ED509" wp14:textId="77777777">
      <w:pPr>
        <w:pStyle w:val="ListBullet"/>
      </w:pPr>
      <w:r>
        <w:t>student information where relevant to registration or service delivery;</w:t>
      </w:r>
    </w:p>
    <w:p xmlns:wp14="http://schemas.microsoft.com/office/word/2010/wordml" w14:paraId="39BB8FD7" wp14:textId="77777777">
      <w:pPr>
        <w:pStyle w:val="ListBullet"/>
      </w:pPr>
      <w:r>
        <w:t>clinical history, diagnoses, symptoms, consultation notes, medicines, allergies, immunisations, referrals, investigations, test results, images and care plans;</w:t>
      </w:r>
    </w:p>
    <w:p xmlns:wp14="http://schemas.microsoft.com/office/word/2010/wordml" w14:paraId="22DF9F45" wp14:textId="77777777">
      <w:pPr>
        <w:pStyle w:val="ListBullet"/>
      </w:pPr>
      <w:r>
        <w:t>information from hospitals, community services, mental health services, pharmacies, social care, NHS bodies and other care providers;</w:t>
      </w:r>
    </w:p>
    <w:p xmlns:wp14="http://schemas.microsoft.com/office/word/2010/wordml" w14:paraId="6BA3D098" wp14:textId="77777777">
      <w:pPr>
        <w:pStyle w:val="ListBullet"/>
      </w:pPr>
      <w:r>
        <w:t>appointment, access, communication and online consultation information;</w:t>
      </w:r>
    </w:p>
    <w:p xmlns:wp14="http://schemas.microsoft.com/office/word/2010/wordml" w14:paraId="72CBA040" wp14:textId="77777777">
      <w:pPr>
        <w:pStyle w:val="ListBullet"/>
      </w:pPr>
      <w:r>
        <w:t>information about carers, representatives, safeguarding and social circumstances;</w:t>
      </w:r>
    </w:p>
    <w:p xmlns:wp14="http://schemas.microsoft.com/office/word/2010/wordml" w14:paraId="1985578A" wp14:textId="77777777">
      <w:pPr>
        <w:pStyle w:val="ListBullet"/>
      </w:pPr>
      <w:r>
        <w:t>feedback, complaints, incidents, claims and correspondence;</w:t>
      </w:r>
    </w:p>
    <w:p xmlns:wp14="http://schemas.microsoft.com/office/word/2010/wordml" w14:paraId="66BF610B" wp14:textId="77777777">
      <w:pPr>
        <w:pStyle w:val="ListBullet"/>
      </w:pPr>
      <w:r>
        <w:t>technical and audit information, including system access logs; and</w:t>
      </w:r>
    </w:p>
    <w:p xmlns:wp14="http://schemas.microsoft.com/office/word/2010/wordml" w14:paraId="09ED891F" wp14:textId="77777777">
      <w:pPr>
        <w:pStyle w:val="ListBullet"/>
      </w:pPr>
      <w:r>
        <w:t>audio or transcript data only where an approved tool requires it and the applicable transparency and consent/confidentiality requirements have been met.</w:t>
      </w:r>
    </w:p>
    <w:p xmlns:wp14="http://schemas.microsoft.com/office/word/2010/wordml" w14:paraId="297BC2E0" wp14:textId="77777777">
      <w:pPr>
        <w:pStyle w:val="Heading1"/>
        <w:keepNext/>
      </w:pPr>
      <w:r>
        <w:t>5. Why and how we use personal information</w:t>
      </w:r>
    </w:p>
    <w:tbl>
      <w:tblPr>
        <w:tblStyle w:val="TableGrid"/>
        <w:tblW w:w="0" w:type="auto"/>
        <w:jc w:val="center"/>
        <w:tblLook w:val="04A0" w:firstRow="1" w:lastRow="0" w:firstColumn="1" w:lastColumn="0" w:noHBand="0" w:noVBand="1"/>
      </w:tblPr>
      <w:tblGrid>
        <w:gridCol w:w="5040"/>
        <w:gridCol w:w="5040"/>
      </w:tblGrid>
      <w:tr xmlns:wp14="http://schemas.microsoft.com/office/word/2010/wordml" w14:paraId="450BCCD6" wp14:textId="77777777">
        <w:tc>
          <w:tcPr>
            <w:tcW w:w="5040" w:type="dxa"/>
            <w:shd w:fill="17365D"/>
            <w:vAlign w:val="center"/>
          </w:tcPr>
          <w:p w14:paraId="39EC13BE" wp14:textId="77777777">
            <w:r>
              <w:rPr>
                <w:b/>
                <w:color w:val="FFFFFF"/>
              </w:rPr>
              <w:t>Purpose</w:t>
            </w:r>
          </w:p>
        </w:tc>
        <w:tc>
          <w:tcPr>
            <w:tcW w:w="5040" w:type="dxa"/>
            <w:shd w:fill="17365D"/>
            <w:vAlign w:val="center"/>
          </w:tcPr>
          <w:p w14:paraId="02F6F337" wp14:textId="77777777">
            <w:r>
              <w:rPr>
                <w:b/>
                <w:color w:val="FFFFFF"/>
              </w:rPr>
              <w:t>Examples</w:t>
            </w:r>
          </w:p>
        </w:tc>
        <w:trPr>
          <w:tblHeader/>
        </w:trPr>
      </w:tr>
      <w:tr xmlns:wp14="http://schemas.microsoft.com/office/word/2010/wordml" w14:paraId="4D19B8F2" wp14:textId="77777777">
        <w:tc>
          <w:tcPr>
            <w:tcW w:w="5040" w:type="dxa"/>
            <w:vAlign w:val="center"/>
          </w:tcPr>
          <w:p w14:paraId="63BA0770" wp14:textId="77777777">
            <w:r>
              <w:t>Direct care</w:t>
            </w:r>
          </w:p>
        </w:tc>
        <w:tc>
          <w:tcPr>
            <w:tcW w:w="5040" w:type="dxa"/>
            <w:vAlign w:val="center"/>
          </w:tcPr>
          <w:p w14:paraId="4B58BD12" wp14:textId="77777777">
            <w:r>
              <w:t>Registration, diagnosis, treatment, prescribing, referrals, care coordination, safeguarding, follow-up and medicines management.</w:t>
            </w:r>
          </w:p>
        </w:tc>
      </w:tr>
      <w:tr xmlns:wp14="http://schemas.microsoft.com/office/word/2010/wordml" w14:paraId="44FBDFA5" wp14:textId="77777777">
        <w:tc>
          <w:tcPr>
            <w:tcW w:w="5040" w:type="dxa"/>
            <w:vAlign w:val="center"/>
          </w:tcPr>
          <w:p w14:paraId="506E0E80" wp14:textId="77777777">
            <w:r>
              <w:t>Service delivery and administration</w:t>
            </w:r>
          </w:p>
        </w:tc>
        <w:tc>
          <w:tcPr>
            <w:tcW w:w="5040" w:type="dxa"/>
            <w:vAlign w:val="center"/>
          </w:tcPr>
          <w:p w14:paraId="46C000B0" wp14:textId="77777777">
            <w:r>
              <w:t>Appointments, reminders, communications, managing access, verifying identity and responding to enquiries.</w:t>
            </w:r>
          </w:p>
        </w:tc>
      </w:tr>
      <w:tr xmlns:wp14="http://schemas.microsoft.com/office/word/2010/wordml" w14:paraId="32E9EE96" wp14:textId="77777777">
        <w:tc>
          <w:tcPr>
            <w:tcW w:w="5040" w:type="dxa"/>
            <w:vAlign w:val="center"/>
          </w:tcPr>
          <w:p w14:paraId="7C6E206A" wp14:textId="77777777">
            <w:r>
              <w:t>Quality and safety</w:t>
            </w:r>
          </w:p>
        </w:tc>
        <w:tc>
          <w:tcPr>
            <w:tcW w:w="5040" w:type="dxa"/>
            <w:vAlign w:val="center"/>
          </w:tcPr>
          <w:p w14:paraId="05B999E9" wp14:textId="77777777">
            <w:r>
              <w:t>Clinical audit, significant event review, complaints, incident investigation, service evaluation and clinical governance.</w:t>
            </w:r>
          </w:p>
        </w:tc>
      </w:tr>
      <w:tr xmlns:wp14="http://schemas.microsoft.com/office/word/2010/wordml" w14:paraId="20B3F619" wp14:textId="77777777">
        <w:tc>
          <w:tcPr>
            <w:tcW w:w="5040" w:type="dxa"/>
            <w:vAlign w:val="center"/>
          </w:tcPr>
          <w:p w14:paraId="695621FE" wp14:textId="77777777">
            <w:r>
              <w:t>Population health and risk stratification</w:t>
            </w:r>
          </w:p>
        </w:tc>
        <w:tc>
          <w:tcPr>
            <w:tcW w:w="5040" w:type="dxa"/>
            <w:vAlign w:val="center"/>
          </w:tcPr>
          <w:p w14:paraId="6140600B" wp14:textId="77777777">
            <w:r>
              <w:t>Identifying people who may benefit from proactive support, reviewing service needs and reducing avoidable deterioration or admission.</w:t>
            </w:r>
          </w:p>
        </w:tc>
      </w:tr>
      <w:tr xmlns:wp14="http://schemas.microsoft.com/office/word/2010/wordml" w14:paraId="08DDEA27" wp14:textId="77777777">
        <w:tc>
          <w:tcPr>
            <w:tcW w:w="5040" w:type="dxa"/>
            <w:vAlign w:val="center"/>
          </w:tcPr>
          <w:p w14:paraId="5DDC9C4F" wp14:textId="77777777">
            <w:r>
              <w:t>Legal and regulatory duties</w:t>
            </w:r>
          </w:p>
        </w:tc>
        <w:tc>
          <w:tcPr>
            <w:tcW w:w="5040" w:type="dxa"/>
            <w:vAlign w:val="center"/>
          </w:tcPr>
          <w:p w14:paraId="579F56E5" wp14:textId="77777777">
            <w:r>
              <w:t>Responding to lawful requests, safeguarding, public health, CQC requirements, NHS reporting and legal claims.</w:t>
            </w:r>
          </w:p>
        </w:tc>
      </w:tr>
      <w:tr xmlns:wp14="http://schemas.microsoft.com/office/word/2010/wordml" w14:paraId="1039803C" wp14:textId="77777777">
        <w:tc>
          <w:tcPr>
            <w:tcW w:w="5040" w:type="dxa"/>
            <w:vAlign w:val="center"/>
          </w:tcPr>
          <w:p w14:paraId="2446B3CA" wp14:textId="77777777">
            <w:r>
              <w:t>Planning, commissioning and payment</w:t>
            </w:r>
          </w:p>
        </w:tc>
        <w:tc>
          <w:tcPr>
            <w:tcW w:w="5040" w:type="dxa"/>
            <w:vAlign w:val="center"/>
          </w:tcPr>
          <w:p w14:paraId="4CDC118B" wp14:textId="77777777">
            <w:r>
              <w:t>Service planning, contract management, invoice validation and approved reporting, using anonymous or pseudonymised data where practicable.</w:t>
            </w:r>
          </w:p>
        </w:tc>
      </w:tr>
      <w:tr xmlns:wp14="http://schemas.microsoft.com/office/word/2010/wordml" w14:paraId="14D1C690" wp14:textId="77777777">
        <w:tc>
          <w:tcPr>
            <w:tcW w:w="5040" w:type="dxa"/>
            <w:vAlign w:val="center"/>
          </w:tcPr>
          <w:p w14:paraId="7C3C1F36" wp14:textId="77777777">
            <w:r>
              <w:t>Research</w:t>
            </w:r>
          </w:p>
        </w:tc>
        <w:tc>
          <w:tcPr>
            <w:tcW w:w="5040" w:type="dxa"/>
            <w:vAlign w:val="center"/>
          </w:tcPr>
          <w:p w14:paraId="632293EC" wp14:textId="77777777">
            <w:r>
              <w:t>Approved research where the required approvals, legal basis, confidentiality arrangements and patient choices apply.</w:t>
            </w:r>
          </w:p>
        </w:tc>
      </w:tr>
      <w:tr xmlns:wp14="http://schemas.microsoft.com/office/word/2010/wordml" w14:paraId="70C86543" wp14:textId="77777777">
        <w:tc>
          <w:tcPr>
            <w:tcW w:w="5040" w:type="dxa"/>
            <w:vAlign w:val="center"/>
          </w:tcPr>
          <w:p w14:paraId="3BA7B50B" wp14:textId="77777777">
            <w:r>
              <w:t>Training and education</w:t>
            </w:r>
          </w:p>
        </w:tc>
        <w:tc>
          <w:tcPr>
            <w:tcW w:w="5040" w:type="dxa"/>
            <w:vAlign w:val="center"/>
          </w:tcPr>
          <w:p w14:paraId="4972BA3E" wp14:textId="77777777">
            <w:r>
              <w:t>Supervised training and learning, with confidentiality safeguards.</w:t>
            </w:r>
          </w:p>
        </w:tc>
      </w:tr>
      <w:tr xmlns:wp14="http://schemas.microsoft.com/office/word/2010/wordml" w14:paraId="6DB6FECD" wp14:textId="77777777">
        <w:tc>
          <w:tcPr>
            <w:tcW w:w="5040" w:type="dxa"/>
            <w:vAlign w:val="center"/>
          </w:tcPr>
          <w:p w14:paraId="22850A16" wp14:textId="77777777">
            <w:r>
              <w:t>Digital and AI-enabled support</w:t>
            </w:r>
          </w:p>
        </w:tc>
        <w:tc>
          <w:tcPr>
            <w:tcW w:w="5040" w:type="dxa"/>
            <w:vAlign w:val="center"/>
          </w:tcPr>
          <w:p w14:paraId="67C58960" wp14:textId="77777777">
            <w:r>
              <w:t>Approved tools that assist documentation, summarisation, coding suggestions, triage support, administrative workflow, risk identification or clinical decision support, subject to the safeguards in section 10.</w:t>
            </w:r>
          </w:p>
        </w:tc>
      </w:tr>
    </w:tbl>
    <w:p xmlns:wp14="http://schemas.microsoft.com/office/word/2010/wordml" w14:paraId="1BE2645A" wp14:textId="77777777">
      <w:pPr>
        <w:pStyle w:val="Heading1"/>
        <w:keepNext/>
      </w:pPr>
      <w:r>
        <w:t>6. Lawful bases and confidentiality</w:t>
      </w:r>
    </w:p>
    <w:p xmlns:wp14="http://schemas.microsoft.com/office/word/2010/wordml" w14:paraId="4522EC59" wp14:textId="77777777">
      <w:r>
        <w:t>The Practice identifies an appropriate lawful basis under UK GDPR Article 6 and, for health and other special category information, an Article 9 condition. These will vary by purpose. Direct care and management of health services will commonly rely on performance of a task in the public interest and processing necessary for health or social care by, or under the responsibility of, a professional subject to confidentiality.</w:t>
      </w:r>
    </w:p>
    <w:p xmlns:wp14="http://schemas.microsoft.com/office/word/2010/wordml" w14:paraId="52E88D1E" wp14:textId="77777777">
      <w:r>
        <w:t>Consent is not the legal basis for every use of health information. Where consent is the correct basis, it must be freely given, specific, informed and capable of being withdrawn. Separate consent or agreement may also be required under the Common Law Duty of Confidentiality, particularly where confidential information is used beyond direct care or where a consultation is recorded.</w:t>
      </w:r>
    </w:p>
    <w:p xmlns:wp14="http://schemas.microsoft.com/office/word/2010/wordml" w14:paraId="1716C1B9" wp14:textId="77777777">
      <w:r>
        <w:t>The Practice may process information to protect vital interests, comply with law, support public health, establish or defend legal claims, or conduct approved research where the relevant legal conditions are met.</w:t>
      </w:r>
    </w:p>
    <w:p xmlns:wp14="http://schemas.microsoft.com/office/word/2010/wordml" w14:paraId="798129F5" wp14:textId="77777777">
      <w:pPr>
        <w:pStyle w:val="Heading1"/>
        <w:keepNext/>
      </w:pPr>
      <w:r>
        <w:t>7. Sharing information</w:t>
      </w:r>
    </w:p>
    <w:p xmlns:wp14="http://schemas.microsoft.com/office/word/2010/wordml" w14:paraId="49C0D447" wp14:textId="77777777">
      <w:r>
        <w:t>We share only information that is relevant and necessary, using secure methods and appropriate agreements. Depending on your care or the applicable legal duty, recipients may include:</w:t>
      </w:r>
    </w:p>
    <w:p xmlns:wp14="http://schemas.microsoft.com/office/word/2010/wordml" w14:paraId="46E66BF0" wp14:textId="77777777">
      <w:pPr>
        <w:pStyle w:val="ListBullet"/>
      </w:pPr>
      <w:r>
        <w:t>GP practices and primary care networks;</w:t>
      </w:r>
    </w:p>
    <w:p xmlns:wp14="http://schemas.microsoft.com/office/word/2010/wordml" w14:paraId="65C45D19" wp14:textId="77777777">
      <w:pPr>
        <w:pStyle w:val="ListBullet"/>
      </w:pPr>
      <w:r>
        <w:t>NHS trusts, community, mental health, urgent and emergency care services;</w:t>
      </w:r>
    </w:p>
    <w:p xmlns:wp14="http://schemas.microsoft.com/office/word/2010/wordml" w14:paraId="548D5BBD" wp14:textId="77777777">
      <w:pPr>
        <w:pStyle w:val="ListBullet"/>
      </w:pPr>
      <w:r>
        <w:t>pharmacies, dentists, optometrists and other care professionals;</w:t>
      </w:r>
    </w:p>
    <w:p xmlns:wp14="http://schemas.microsoft.com/office/word/2010/wordml" w14:paraId="0510E8C1" wp14:textId="77777777">
      <w:pPr>
        <w:pStyle w:val="ListBullet"/>
      </w:pPr>
      <w:r>
        <w:t>NHS England, integrated care boards, commissioning support services and other NHS bodies;</w:t>
      </w:r>
    </w:p>
    <w:p xmlns:wp14="http://schemas.microsoft.com/office/word/2010/wordml" w14:paraId="27512A82" wp14:textId="77777777">
      <w:pPr>
        <w:pStyle w:val="ListBullet"/>
      </w:pPr>
      <w:r>
        <w:t>local authorities, social care and education services where relevant;</w:t>
      </w:r>
    </w:p>
    <w:p xmlns:wp14="http://schemas.microsoft.com/office/word/2010/wordml" w14:paraId="12872B14" wp14:textId="77777777">
      <w:pPr>
        <w:pStyle w:val="ListBullet"/>
      </w:pPr>
      <w:r>
        <w:t>ambulance services;</w:t>
      </w:r>
    </w:p>
    <w:p xmlns:wp14="http://schemas.microsoft.com/office/word/2010/wordml" w14:paraId="789FC481" wp14:textId="77777777">
      <w:pPr>
        <w:pStyle w:val="ListBullet"/>
      </w:pPr>
      <w:r>
        <w:t>approved laboratories, diagnostic providers and private or voluntary providers involved in care;</w:t>
      </w:r>
    </w:p>
    <w:p xmlns:wp14="http://schemas.microsoft.com/office/word/2010/wordml" w14:paraId="069DE73E" wp14:textId="77777777">
      <w:pPr>
        <w:pStyle w:val="ListBullet"/>
      </w:pPr>
      <w:r>
        <w:t>police, courts, coroners, regulators or other authorities where disclosure is lawful and necessary;</w:t>
      </w:r>
    </w:p>
    <w:p xmlns:wp14="http://schemas.microsoft.com/office/word/2010/wordml" w14:paraId="2F769019" wp14:textId="77777777">
      <w:pPr>
        <w:pStyle w:val="ListBullet"/>
      </w:pPr>
      <w:r>
        <w:t>research organisations with appropriate approvals; and</w:t>
      </w:r>
    </w:p>
    <w:p xmlns:wp14="http://schemas.microsoft.com/office/word/2010/wordml" w14:paraId="14F7355A" wp14:textId="77777777">
      <w:pPr>
        <w:pStyle w:val="ListBullet"/>
      </w:pPr>
      <w:r>
        <w:t>technology suppliers acting as processors under contract, including approved AI-enabled tool providers.</w:t>
      </w:r>
    </w:p>
    <w:p xmlns:wp14="http://schemas.microsoft.com/office/word/2010/wordml" w14:paraId="58D2AECB" wp14:textId="77777777">
      <w:r>
        <w:t>We do not sell patient information. We require processors to act only on documented instructions, protect confidentiality and security, support individual rights, and delete or return information as required by contract and retention rules.</w:t>
      </w:r>
    </w:p>
    <w:p xmlns:wp14="http://schemas.microsoft.com/office/word/2010/wordml" w14:paraId="1842FC32" wp14:textId="77777777">
      <w:pPr>
        <w:pStyle w:val="Heading1"/>
        <w:keepNext/>
      </w:pPr>
      <w:r>
        <w:t>8. Shared care records and Summary Care Record</w:t>
      </w:r>
    </w:p>
    <w:p xmlns:wp14="http://schemas.microsoft.com/office/word/2010/wordml" w14:paraId="49BB1817" wp14:textId="77777777">
      <w:r>
        <w:t>Electronic records may be made available to authorised health and care organisations involved in your care through approved shared record arrangements. Access is role-based and audited. The Summary Care Record may contain core information such as medicines, allergies and adverse reactions, with additional information where applicable. You may ask about available sharing choices, but restricting access can affect the information available to professionals caring for you.</w:t>
      </w:r>
    </w:p>
    <w:p xmlns:wp14="http://schemas.microsoft.com/office/word/2010/wordml" w14:paraId="081C85AA" wp14:textId="77777777">
      <w:pPr>
        <w:pStyle w:val="Heading1"/>
        <w:keepNext/>
      </w:pPr>
      <w:r>
        <w:t>9. Risk stratification, population health and automated processing</w:t>
      </w:r>
    </w:p>
    <w:p xmlns:wp14="http://schemas.microsoft.com/office/word/2010/wordml" w14:paraId="704CECB2" wp14:textId="77777777">
      <w:r>
        <w:t>The Practice may use approved algorithms to identify patients who may be at increased risk or who may benefit from review or proactive support. Inputs may include age, diagnoses, medicines, long-term conditions, service use and hospital attendance. Outputs are used to support clinical or service review and are not treated as infallible.</w:t>
      </w:r>
    </w:p>
    <w:p xmlns:wp14="http://schemas.microsoft.com/office/word/2010/wordml" w14:paraId="277F030C" wp14:textId="77777777">
      <w:r>
        <w:t>Where processing involves a solely automated decision that produces a legal or similarly significant effect, the Practice will apply the safeguards required by current data protection law. These may include providing meaningful information, enabling the person to make representations, and arranging meaningful human review. Health information receives additional protection as special category data.</w:t>
      </w:r>
    </w:p>
    <w:p xmlns:wp14="http://schemas.microsoft.com/office/word/2010/wordml" w14:paraId="5B5EBAE3" wp14:textId="77777777">
      <w:pPr>
        <w:pStyle w:val="Heading1"/>
        <w:keepNext/>
      </w:pPr>
      <w:r>
        <w:t>10. Use of artificial intelligence and AI-enabled clinical tools</w:t>
      </w:r>
    </w:p>
    <w:p xmlns:wp14="http://schemas.microsoft.com/office/word/2010/wordml" w14:paraId="387A4CAB" wp14:textId="77777777">
      <w:pPr>
        <w:pStyle w:val="Heading2"/>
        <w:keepNext/>
      </w:pPr>
      <w:r>
        <w:t>10.1 What we may use</w:t>
      </w:r>
    </w:p>
    <w:p xmlns:wp14="http://schemas.microsoft.com/office/word/2010/wordml" w14:paraId="0BE6F382" wp14:textId="78E99AAE">
      <w:r w:rsidR="79851578">
        <w:rPr/>
        <w:t xml:space="preserve">The Practice may </w:t>
      </w:r>
      <w:r w:rsidR="2FEAB3EE">
        <w:rPr/>
        <w:t xml:space="preserve">only </w:t>
      </w:r>
      <w:r w:rsidR="79851578">
        <w:rPr/>
        <w:t>use</w:t>
      </w:r>
      <w:r w:rsidR="4CB48216">
        <w:rPr/>
        <w:t xml:space="preserve"> NHS</w:t>
      </w:r>
      <w:r w:rsidR="79851578">
        <w:rPr/>
        <w:t xml:space="preserve"> approved AI-enabled tools to support professional and administrative work. Examples may include ambient or consultation documentation tools, speech-to-text, draft clinical notes or letters, </w:t>
      </w:r>
      <w:r w:rsidR="79851578">
        <w:rPr/>
        <w:t>summarisation</w:t>
      </w:r>
      <w:r w:rsidR="79851578">
        <w:rPr/>
        <w:t xml:space="preserve"> of records or correspondence, coding suggestions, workflow </w:t>
      </w:r>
      <w:r w:rsidR="79851578">
        <w:rPr/>
        <w:t>prioritisation</w:t>
      </w:r>
      <w:r w:rsidR="79851578">
        <w:rPr/>
        <w:t xml:space="preserve">, risk identification, triage </w:t>
      </w:r>
      <w:r w:rsidR="79851578">
        <w:rPr/>
        <w:t>support</w:t>
      </w:r>
      <w:r w:rsidR="79851578">
        <w:rPr/>
        <w:t xml:space="preserve"> and clinical decision support.</w:t>
      </w:r>
    </w:p>
    <w:p xmlns:wp14="http://schemas.microsoft.com/office/word/2010/wordml" w14:paraId="25BA5D72" wp14:textId="77777777">
      <w:pPr>
        <w:pStyle w:val="Heading2"/>
        <w:keepNext/>
      </w:pPr>
      <w:r>
        <w:t>10.2 Human responsibility and clinical judgement</w:t>
      </w:r>
    </w:p>
    <w:p xmlns:wp14="http://schemas.microsoft.com/office/word/2010/wordml" w14:paraId="22C5E73B" wp14:textId="77777777">
      <w:r w:rsidR="79851578">
        <w:rPr/>
        <w:t>AI output is advisory or preparatory. A suitably authorised member of staff remains responsible for checking relevant output before it is relied upon or entered into the clinical record. Final decisions about care are made using professional judgement and, where appropriate, in consultation with the patient. Staff must consider possible errors, omissions, fabricated content, bias and inconsistent results.</w:t>
      </w:r>
    </w:p>
    <w:p xmlns:wp14="http://schemas.microsoft.com/office/word/2010/wordml" w14:paraId="1C582629" wp14:textId="6A607118">
      <w:pPr>
        <w:pStyle w:val="Heading2"/>
        <w:keepNext w:val="1"/>
      </w:pPr>
      <w:r w:rsidR="79851578">
        <w:rPr/>
        <w:t>10.</w:t>
      </w:r>
      <w:r w:rsidR="194CB09E">
        <w:rPr/>
        <w:t>3</w:t>
      </w:r>
      <w:r w:rsidR="79851578">
        <w:rPr/>
        <w:t xml:space="preserve"> Transparency and patient choices</w:t>
      </w:r>
    </w:p>
    <w:p xmlns:wp14="http://schemas.microsoft.com/office/word/2010/wordml" w14:paraId="2E902D17" wp14:textId="28A8C381">
      <w:r w:rsidR="79851578">
        <w:rPr/>
        <w:t xml:space="preserve">The Practice will provide </w:t>
      </w:r>
      <w:r w:rsidR="79851578">
        <w:rPr/>
        <w:t>additional</w:t>
      </w:r>
      <w:r w:rsidR="79851578">
        <w:rPr/>
        <w:t xml:space="preserve"> tool-specific information where necessary</w:t>
      </w:r>
      <w:r w:rsidR="0B8E932E">
        <w:rPr/>
        <w:t xml:space="preserve">. </w:t>
      </w:r>
      <w:r w:rsidR="79851578">
        <w:rPr/>
        <w:t xml:space="preserve">Where a patient raises concerns, staff can refer the matter to the Practice Manager, Data Protection Lead, Caldicott Guardian or clinician as </w:t>
      </w:r>
      <w:r w:rsidR="79851578">
        <w:rPr/>
        <w:t>appropriate</w:t>
      </w:r>
      <w:r w:rsidR="79851578">
        <w:rPr/>
        <w:t>.</w:t>
      </w:r>
    </w:p>
    <w:p xmlns:wp14="http://schemas.microsoft.com/office/word/2010/wordml" w14:paraId="3756226A" wp14:textId="77777777">
      <w:pPr>
        <w:pStyle w:val="Heading1"/>
        <w:keepNext/>
      </w:pPr>
      <w:r>
        <w:t>11. International transfers</w:t>
      </w:r>
    </w:p>
    <w:p xmlns:wp14="http://schemas.microsoft.com/office/word/2010/wordml" w14:paraId="1078175E" wp14:textId="77777777">
      <w:r>
        <w:t>The Practice seeks to keep health information within the UK or other approved locations. If personal information is transferred outside the UK, the Practice will ensure there is a lawful transfer mechanism and appropriate safeguards, complete the necessary risk assessment, and explain material transfers in the relevant privacy information. The previous blanket statement that information will never leave the European Union has therefore been removed.</w:t>
      </w:r>
    </w:p>
    <w:p xmlns:wp14="http://schemas.microsoft.com/office/word/2010/wordml" w14:paraId="036E6D62" wp14:textId="77777777">
      <w:pPr>
        <w:pStyle w:val="Heading1"/>
        <w:keepNext/>
      </w:pPr>
      <w:r>
        <w:t>12. Security and confidentiality</w:t>
      </w:r>
    </w:p>
    <w:p xmlns:wp14="http://schemas.microsoft.com/office/word/2010/wordml" w14:paraId="51C3AF6D" wp14:textId="77777777">
      <w:r>
        <w:t>Access is limited to people who need information for an authorised purpose. Measures include role-based access, smartcards or multi-factor authentication where applicable, audit logs, secure NHS systems, encryption, supplier assurance, staff training, confidentiality obligations, incident management, business continuity and regular review of access. Staff must not access their own, relatives’, colleagues’ or other patients’ records without an authorised work purpose.</w:t>
      </w:r>
    </w:p>
    <w:p xmlns:wp14="http://schemas.microsoft.com/office/word/2010/wordml" w14:paraId="3AB2CE0A" wp14:textId="77777777">
      <w:pPr>
        <w:pStyle w:val="Heading1"/>
        <w:keepNext/>
      </w:pPr>
      <w:r>
        <w:t>13. Retention and disposal</w:t>
      </w:r>
    </w:p>
    <w:p xmlns:wp14="http://schemas.microsoft.com/office/word/2010/wordml" w14:paraId="1F74A0D4" wp14:textId="77777777">
      <w:r>
        <w:t>Records are kept in line with the Records Management Code of Practice 2021 and applicable NHS retention schedules. Different records have different periods. Information is securely deleted or destroyed when no longer required, subject to legal holds, complaints, claims, investigations or continuing care needs. Temporary AI audio, transcripts, prompts and draft outputs will have a defined and minimised retention period; the final verified clinical record is retained under the applicable health-record schedule.</w:t>
      </w:r>
    </w:p>
    <w:p xmlns:wp14="http://schemas.microsoft.com/office/word/2010/wordml" w14:paraId="4A0084F8" wp14:textId="77777777">
      <w:pPr>
        <w:pStyle w:val="Heading1"/>
        <w:keepNext/>
      </w:pPr>
      <w:r>
        <w:t>14. Your rights</w:t>
      </w:r>
    </w:p>
    <w:p xmlns:wp14="http://schemas.microsoft.com/office/word/2010/wordml" w14:paraId="00A5CA39" wp14:textId="77777777">
      <w:r>
        <w:t>Depending on the circumstances and lawful basis, you may have the right to:</w:t>
      </w:r>
    </w:p>
    <w:p xmlns:wp14="http://schemas.microsoft.com/office/word/2010/wordml" w14:paraId="1C675CF7" wp14:textId="77777777">
      <w:pPr>
        <w:pStyle w:val="ListBullet"/>
      </w:pPr>
      <w:r>
        <w:t>be informed about the use of your information;</w:t>
      </w:r>
    </w:p>
    <w:p xmlns:wp14="http://schemas.microsoft.com/office/word/2010/wordml" w14:paraId="7CC7AA06" wp14:textId="77777777">
      <w:pPr>
        <w:pStyle w:val="ListBullet"/>
      </w:pPr>
      <w:r>
        <w:t>request access to your personal information;</w:t>
      </w:r>
    </w:p>
    <w:p xmlns:wp14="http://schemas.microsoft.com/office/word/2010/wordml" w14:paraId="30433DD1" wp14:textId="77777777">
      <w:pPr>
        <w:pStyle w:val="ListBullet"/>
      </w:pPr>
      <w:r>
        <w:t>ask for inaccurate or incomplete information to be corrected;</w:t>
      </w:r>
    </w:p>
    <w:p xmlns:wp14="http://schemas.microsoft.com/office/word/2010/wordml" w14:paraId="7E55E655" wp14:textId="77777777">
      <w:pPr>
        <w:pStyle w:val="ListBullet"/>
      </w:pPr>
      <w:r>
        <w:t>ask for processing to be restricted;</w:t>
      </w:r>
    </w:p>
    <w:p xmlns:wp14="http://schemas.microsoft.com/office/word/2010/wordml" w14:paraId="1985FD4C" wp14:textId="77777777">
      <w:pPr>
        <w:pStyle w:val="ListBullet"/>
      </w:pPr>
      <w:r>
        <w:t>object to certain processing;</w:t>
      </w:r>
    </w:p>
    <w:p xmlns:wp14="http://schemas.microsoft.com/office/word/2010/wordml" w14:paraId="1510B7F4" wp14:textId="77777777">
      <w:pPr>
        <w:pStyle w:val="ListBullet"/>
      </w:pPr>
      <w:r>
        <w:t>request deletion where the legal conditions apply;</w:t>
      </w:r>
    </w:p>
    <w:p xmlns:wp14="http://schemas.microsoft.com/office/word/2010/wordml" w14:paraId="6E3FF482" wp14:textId="77777777">
      <w:pPr>
        <w:pStyle w:val="ListBullet"/>
      </w:pPr>
      <w:r>
        <w:t>receive certain information in a portable format where applicable;</w:t>
      </w:r>
    </w:p>
    <w:p xmlns:wp14="http://schemas.microsoft.com/office/word/2010/wordml" w14:paraId="6090C3C8" wp14:textId="77777777">
      <w:pPr>
        <w:pStyle w:val="ListBullet"/>
      </w:pPr>
      <w:r>
        <w:t>raise concerns about direct marketing; and</w:t>
      </w:r>
    </w:p>
    <w:p xmlns:wp14="http://schemas.microsoft.com/office/word/2010/wordml" w14:paraId="338FFEDD" wp14:textId="77777777">
      <w:pPr>
        <w:pStyle w:val="ListBullet"/>
      </w:pPr>
      <w:r>
        <w:t>receive safeguards in relation to significant solely automated decisions.</w:t>
      </w:r>
    </w:p>
    <w:p xmlns:wp14="http://schemas.microsoft.com/office/word/2010/wordml" w14:paraId="5215FA08" wp14:textId="77777777">
      <w:r>
        <w:t>Some rights are qualified. For example, health records may contain information about another person, or disclosure may be restricted where the legal test for serious harm is met. The Practice will explain any lawful limitation.</w:t>
      </w:r>
    </w:p>
    <w:p xmlns:wp14="http://schemas.microsoft.com/office/word/2010/wordml" w14:paraId="5CF2EA09" wp14:textId="77777777">
      <w:pPr>
        <w:pStyle w:val="Heading1"/>
        <w:keepNext/>
      </w:pPr>
      <w:r>
        <w:t>15. National Data Opt-out and other objections</w:t>
      </w:r>
    </w:p>
    <w:p xmlns:wp14="http://schemas.microsoft.com/office/word/2010/wordml" w14:paraId="278107D6" wp14:textId="77777777">
      <w:r>
        <w:t>The National Data Opt-out allows people to opt out of their confidential patient information being used for research and planning in circumstances where the opt-out applies. It does not generally prevent information being used for individual care, essential public health functions or other uses outside its scope. You may also raise a specific objection with the Practice; we will consider it against the legal basis, confidentiality rules and any overriding legal duty.</w:t>
      </w:r>
    </w:p>
    <w:p xmlns:wp14="http://schemas.microsoft.com/office/word/2010/wordml" w14:paraId="600BE155" wp14:textId="77777777">
      <w:pPr>
        <w:pStyle w:val="Heading1"/>
        <w:keepNext/>
      </w:pPr>
      <w:r>
        <w:t>16. Research and OpenSAFELY</w:t>
      </w:r>
    </w:p>
    <w:p xmlns:wp14="http://schemas.microsoft.com/office/word/2010/wordml" w14:paraId="15494177" wp14:textId="77777777">
      <w:r>
        <w:t>The Practice may support approved research, clinical audit, service evaluation and health surveillance using secure data environments or approved platforms such as OpenSAFELY where applicable. Identifiable information is used only where there is an appropriate legal and confidentiality basis and the necessary approvals. Type 1 opt-out and National Data Opt-out choices apply according to their respective scope.</w:t>
      </w:r>
    </w:p>
    <w:p xmlns:wp14="http://schemas.microsoft.com/office/word/2010/wordml" w14:paraId="537C4E0A" wp14:textId="77777777">
      <w:pPr>
        <w:pStyle w:val="Heading1"/>
        <w:keepNext/>
      </w:pPr>
      <w:r>
        <w:t>17. Accuracy and changes to your details</w:t>
      </w:r>
    </w:p>
    <w:p xmlns:wp14="http://schemas.microsoft.com/office/word/2010/wordml" w14:paraId="75BD7C36" wp14:textId="77777777">
      <w:r>
        <w:t>Please tell the Practice if your name, address, telephone number, email address, next of kin or other relevant details change. Accurate information supports safe care and reliable communication. If you believe a clinical entry is inaccurate, contact the Practice. The original entry may need to remain as part of the audit trail, with a correction or annotation added.</w:t>
      </w:r>
    </w:p>
    <w:p xmlns:wp14="http://schemas.microsoft.com/office/word/2010/wordml" w14:paraId="72EE8A9C" wp14:textId="77777777">
      <w:pPr>
        <w:pStyle w:val="Heading1"/>
        <w:keepNext/>
      </w:pPr>
      <w:r>
        <w:t>18. Data breaches</w:t>
      </w:r>
    </w:p>
    <w:p xmlns:wp14="http://schemas.microsoft.com/office/word/2010/wordml" w14:paraId="460C8BE7" wp14:textId="77777777">
      <w:r>
        <w:t>The Practice investigates suspected loss, unauthorised access, disclosure, alteration or destruction of personal information. Where required, we will notify the Information Commissioner’s Office within the statutory timeframe and inform affected people without undue delay where the risk threshold is met. Immediate containment and patient safety take priority.</w:t>
      </w:r>
    </w:p>
    <w:p xmlns:wp14="http://schemas.microsoft.com/office/word/2010/wordml" w14:paraId="0F12CB63" wp14:textId="77777777">
      <w:pPr>
        <w:pStyle w:val="Heading1"/>
        <w:keepNext/>
      </w:pPr>
      <w:r>
        <w:t>19. Questions, concerns and complaints</w:t>
      </w:r>
    </w:p>
    <w:p xmlns:wp14="http://schemas.microsoft.com/office/word/2010/wordml" w14:paraId="4FF37891" wp14:textId="0DC6EA39">
      <w:r w:rsidR="79851578">
        <w:rPr/>
        <w:t xml:space="preserve">Please contact the Practice Manager </w:t>
      </w:r>
      <w:r w:rsidR="4390F903">
        <w:rPr/>
        <w:t>(</w:t>
      </w:r>
      <w:r w:rsidR="79851578">
        <w:rPr/>
        <w:t>Data Protection Lead</w:t>
      </w:r>
      <w:r w:rsidR="39F05C18">
        <w:rPr/>
        <w:t>)</w:t>
      </w:r>
      <w:r w:rsidR="79851578">
        <w:rPr/>
        <w:t xml:space="preserve"> at the address above or email kingscollegehc@nhs.net. We will support you to raise a data protection complaint, acknowledge it within the period required by current law, investigate </w:t>
      </w:r>
      <w:r w:rsidR="79851578">
        <w:rPr/>
        <w:t>it</w:t>
      </w:r>
      <w:r w:rsidR="79851578">
        <w:rPr/>
        <w:t xml:space="preserve"> and respond without undue delay.</w:t>
      </w:r>
    </w:p>
    <w:p xmlns:wp14="http://schemas.microsoft.com/office/word/2010/wordml" w14:paraId="05F7907C" wp14:textId="77777777">
      <w:r>
        <w:t>You may also complain to the Information Commissioner’s Office (ICO). Current contact routes are available at www.ico.org.uk. The ICO’s postal address is Wycliffe House, Water Lane, Wilmslow, Cheshire SK9 5AF.</w:t>
      </w:r>
    </w:p>
    <w:p xmlns:wp14="http://schemas.microsoft.com/office/word/2010/wordml" w14:paraId="1ED42314" wp14:textId="77777777">
      <w:pPr>
        <w:pStyle w:val="Heading1"/>
        <w:keepNext/>
      </w:pPr>
      <w:r>
        <w:t>20. Publication, monitoring and review</w:t>
      </w:r>
    </w:p>
    <w:p xmlns:wp14="http://schemas.microsoft.com/office/word/2010/wordml" w14:paraId="7E5195C1" wp14:textId="77777777">
      <w:r w:rsidR="79851578">
        <w:rPr/>
        <w:t>This policy will be made available through appropriate patient-facing channels. The Practice will monitor compliance through audit, incident review, access monitoring, supplier review, complaints, clinical safety processes and governance meetings. The policy will be reviewed at least annually and sooner where there is a material change in law, guidance, service, supplier, technology or data flow.</w:t>
      </w:r>
    </w:p>
    <w:sectPr w:rsidRPr="0006063C" w:rsidR="00FC693F" w:rsidSect="00034616">
      <w:headerReference w:type="default" r:id="rId9"/>
      <w:footerReference w:type="default" r:id="rId10"/>
      <w:pgSz w:w="12240" w:h="15840" w:orient="portrait"/>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3F136870" wp14:textId="77777777">
    <w:pPr>
      <w:pStyle w:val="Footer"/>
      <w:jc w:val="center"/>
    </w:pPr>
    <w:r>
      <w:rPr>
        <w:sz w:val="16"/>
      </w:rPr>
      <w:t xml:space="preserve">Controlled document | Version 2026.1 | Review: October 2027 | Page </w:t>
    </w:r>
    <w:r>
      <w:fldChar w:fldCharType="begin"/>
    </w:r>
    <w:r>
      <w:instrText>PAGE</w:instrText>
    </w:r>
    <w:r>
      <w:fldChar w:fldCharType="separate"/>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7685EEF8" wp14:textId="77777777">
    <w:pPr>
      <w:pStyle w:val="Header"/>
      <w:jc w:val="right"/>
    </w:pPr>
    <w:r>
      <w:rPr>
        <w:color w:val="5A5A5A"/>
        <w:sz w:val="16"/>
      </w:rPr>
      <w:t>KING'S COLLEGE LONDON NHS HEALTH CENTRE  |  PATIENT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8E932E"/>
    <w:rsid w:val="12E7EB75"/>
    <w:rsid w:val="15172043"/>
    <w:rsid w:val="1786547C"/>
    <w:rsid w:val="194CB09E"/>
    <w:rsid w:val="2A3D1E22"/>
    <w:rsid w:val="2FEAB3EE"/>
    <w:rsid w:val="302E9E95"/>
    <w:rsid w:val="39F05C18"/>
    <w:rsid w:val="3DE5B765"/>
    <w:rsid w:val="4390F903"/>
    <w:rsid w:val="4CB48216"/>
    <w:rsid w:val="69DE7C7D"/>
    <w:rsid w:val="69DE7C7D"/>
    <w:rsid w:val="71C20957"/>
    <w:rsid w:val="732D42D3"/>
    <w:rsid w:val="79851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0E0F30D8-8AA0-4FD2-8E15-56B294184B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Aptos Display" w:hAnsi="Aptos Display" w:asciiTheme="majorHAnsi" w:hAnsiTheme="majorHAnsi" w:eastAsiaTheme="majorEastAsia"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ptos Display" w:hAnsi="Aptos Display" w:asciiTheme="majorHAnsi" w:hAnsiTheme="majorHAnsi" w:eastAsiaTheme="majorEastAsia"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ptos Display" w:hAnsi="Aptos Display" w:asciiTheme="majorHAnsi" w:hAnsiTheme="majorHAnsi" w:eastAsiaTheme="majorEastAsia" w:cstheme="majorBidi"/>
      <w:color w:val="17365D"/>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820BB00AD0AD4FB6F9A45DC859A87F" ma:contentTypeVersion="13" ma:contentTypeDescription="Create a new document." ma:contentTypeScope="" ma:versionID="bd304e576ee271299e5b6ea07a1c349e">
  <xsd:schema xmlns:xsd="http://www.w3.org/2001/XMLSchema" xmlns:xs="http://www.w3.org/2001/XMLSchema" xmlns:p="http://schemas.microsoft.com/office/2006/metadata/properties" xmlns:ns1="http://schemas.microsoft.com/sharepoint/v3" xmlns:ns2="b4dc2598-d7f8-4c00-b465-6c21864f2cf9" targetNamespace="http://schemas.microsoft.com/office/2006/metadata/properties" ma:root="true" ma:fieldsID="c63ca322828c035a959d6b5b11ca3b79" ns1:_="" ns2:_="">
    <xsd:import namespace="http://schemas.microsoft.com/sharepoint/v3"/>
    <xsd:import namespace="b4dc2598-d7f8-4c00-b465-6c21864f2cf9"/>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dc2598-d7f8-4c00-b465-6c21864f2c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dc2598-d7f8-4c00-b465-6c21864f2cf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490DFD5-65D0-4771-AFCF-E813636023FE}"/>
</file>

<file path=customXml/itemProps3.xml><?xml version="1.0" encoding="utf-8"?>
<ds:datastoreItem xmlns:ds="http://schemas.openxmlformats.org/officeDocument/2006/customXml" ds:itemID="{324D81EF-3587-4B11-8B13-226DE0DFA84C}"/>
</file>

<file path=customXml/itemProps4.xml><?xml version="1.0" encoding="utf-8"?>
<ds:datastoreItem xmlns:ds="http://schemas.openxmlformats.org/officeDocument/2006/customXml" ds:itemID="{C8EBD112-4ADD-4C40-B6DF-E3D36122DD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Privacy Policy and Privacy Notice 2026</dc:title>
  <dc:subject>Including AI-enabled clinical tools</dc:subject>
  <dc:creator>STOW, Declan (KINGS COLLEGE HEALTH CENTRE)</dc:creator>
  <cp:keywords>privacy, UK GDPR, AI, clinical tools, NHS</cp:keywords>
  <dc:description>generated by python-docx</dc:description>
  <cp:lastModifiedBy>STOW, Declan (KINGS COLLEGE HEALTH CENTRE)</cp:lastModifiedBy>
  <cp:revision>2</cp:revision>
  <dcterms:created xsi:type="dcterms:W3CDTF">2026-10-16T09:10:58Z</dcterms:created>
  <dcterms:modified xsi:type="dcterms:W3CDTF">2026-10-16T09:20:32Z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0x010100EA820BB00AD0AD4FB6F9A45DC859A87F</vt:lpwstr>
  </property>
</Properties>
</file>